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Arial" w:hAnsi="Arial" w:cs="Arial"/>
          <w:color w:val="666666"/>
          <w:sz w:val="21"/>
          <w:szCs w:val="21"/>
        </w:rPr>
      </w:pPr>
      <w:r>
        <w:rPr>
          <w:rFonts w:cs="Arial" w:ascii="Arial" w:hAnsi="Arial"/>
          <w:color w:val="666666"/>
          <w:sz w:val="21"/>
          <w:szCs w:val="21"/>
        </w:rPr>
        <w:t>Osoba ubiegająca się o przyjęcie na studia drugiego stopnia na kierunku </w:t>
      </w:r>
      <w:r>
        <w:rPr>
          <w:rStyle w:val="Strong"/>
          <w:rFonts w:cs="Arial" w:ascii="Arial" w:hAnsi="Arial"/>
          <w:color w:val="666666"/>
          <w:sz w:val="21"/>
          <w:szCs w:val="21"/>
        </w:rPr>
        <w:t>technologia kosmetyku</w:t>
      </w:r>
      <w:r>
        <w:rPr>
          <w:rFonts w:cs="Arial" w:ascii="Arial" w:hAnsi="Arial"/>
          <w:color w:val="666666"/>
          <w:sz w:val="21"/>
          <w:szCs w:val="21"/>
        </w:rPr>
        <w:t> musi posiadać kwalifikację pierwszego stopnia oraz kompetencje niezbędne do kontynuowania kształcenia na studiach drugiego stopnia na tym kierunku. Studia kierowane są do absolwentów kierunków przyporządkowanych do </w:t>
      </w:r>
      <w:r>
        <w:rPr>
          <w:rStyle w:val="Strong"/>
          <w:rFonts w:cs="Arial" w:ascii="Arial" w:hAnsi="Arial"/>
          <w:color w:val="666666"/>
          <w:sz w:val="21"/>
          <w:szCs w:val="21"/>
        </w:rPr>
        <w:t>dziedziny nauk ścisłych i przyrodniczych (dyscyplina nauki chemiczne) i/ lub dziedziny nauk inżynieryjno-technicznych (dyscyplina inżynieria chemiczna).</w:t>
      </w:r>
    </w:p>
    <w:p>
      <w:pPr>
        <w:pStyle w:val="NormalWeb"/>
        <w:shd w:val="clear" w:color="auto" w:fill="FFFFFF"/>
        <w:spacing w:beforeAutospacing="0" w:before="75" w:afterAutospacing="0" w:after="75"/>
        <w:jc w:val="both"/>
        <w:rPr>
          <w:rFonts w:ascii="Arial" w:hAnsi="Arial" w:cs="Arial"/>
          <w:color w:val="666666"/>
          <w:sz w:val="21"/>
          <w:szCs w:val="21"/>
        </w:rPr>
      </w:pPr>
      <w:r>
        <w:rPr>
          <w:rFonts w:cs="Arial" w:ascii="Arial" w:hAnsi="Arial"/>
          <w:color w:val="666666"/>
          <w:sz w:val="21"/>
          <w:szCs w:val="21"/>
        </w:rPr>
        <w:t>W przypadku absolwentów kierunków przyporządkowanych do innych dyscyplin niż ww., istnieje konieczność przystąpienia do realizacji kursu wyrównawczego, którego zakres jest opracowywany na podstawie złożonego suplementu do dyplomu.</w:t>
      </w:r>
    </w:p>
    <w:p>
      <w:pPr>
        <w:pStyle w:val="Normal"/>
        <w:rPr/>
      </w:pPr>
      <w:r>
        <w:rPr/>
      </w:r>
    </w:p>
    <w:p>
      <w:pPr>
        <w:pStyle w:val="Normal"/>
        <w:shd w:val="clear" w:color="auto" w:fill="364E72"/>
        <w:spacing w:before="75" w:after="75"/>
        <w:jc w:val="center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b/>
          <w:bCs/>
          <w:color w:val="FFFFFF"/>
          <w:sz w:val="21"/>
          <w:szCs w:val="21"/>
          <w:lang w:eastAsia="pl-PL"/>
        </w:rPr>
        <w:t>ORGANIZACJA STUDIÓW</w:t>
      </w:r>
    </w:p>
    <w:p>
      <w:pPr>
        <w:pStyle w:val="Normal"/>
        <w:numPr>
          <w:ilvl w:val="0"/>
          <w:numId w:val="1"/>
        </w:numPr>
        <w:shd w:val="clear" w:color="auto" w:fill="FFFFFF"/>
        <w:ind w:left="0" w:hanging="360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color w:val="666666"/>
          <w:sz w:val="21"/>
          <w:szCs w:val="21"/>
          <w:lang w:eastAsia="pl-PL"/>
        </w:rPr>
        <w:t>Czas trwania: 2 lata</w:t>
      </w:r>
    </w:p>
    <w:p>
      <w:pPr>
        <w:pStyle w:val="Normal"/>
        <w:numPr>
          <w:ilvl w:val="0"/>
          <w:numId w:val="1"/>
        </w:numPr>
        <w:shd w:val="clear" w:color="auto" w:fill="FFFFFF"/>
        <w:ind w:left="0" w:hanging="360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color w:val="666666"/>
          <w:sz w:val="21"/>
          <w:szCs w:val="21"/>
          <w:lang w:eastAsia="pl-PL"/>
        </w:rPr>
        <w:t>Forma studiów: </w:t>
      </w:r>
    </w:p>
    <w:p>
      <w:pPr>
        <w:pStyle w:val="Normal"/>
        <w:numPr>
          <w:ilvl w:val="1"/>
          <w:numId w:val="1"/>
        </w:numPr>
        <w:shd w:val="clear" w:color="auto" w:fill="FFFFFF"/>
        <w:ind w:left="0" w:hanging="360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color w:val="666666"/>
          <w:sz w:val="21"/>
          <w:szCs w:val="21"/>
          <w:lang w:eastAsia="pl-PL"/>
        </w:rPr>
        <w:t xml:space="preserve">stacjonarna [Zajęcia odbywają się od poniedziałku do piątku [08:00-20:15]; </w:t>
      </w:r>
    </w:p>
    <w:p>
      <w:pPr>
        <w:pStyle w:val="Normal"/>
        <w:numPr>
          <w:ilvl w:val="1"/>
          <w:numId w:val="1"/>
        </w:numPr>
        <w:shd w:val="clear" w:color="auto" w:fill="FFFFFF"/>
        <w:ind w:left="0" w:hanging="360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color w:val="666666"/>
          <w:sz w:val="21"/>
          <w:szCs w:val="21"/>
          <w:lang w:eastAsia="pl-PL"/>
        </w:rPr>
        <w:t xml:space="preserve">niestacjonarna [Zajęcia odbywają się w piątki [17:00-20:15], soboty i niedziele [08:00-20:15] </w:t>
      </w:r>
    </w:p>
    <w:p>
      <w:pPr>
        <w:pStyle w:val="Normal"/>
        <w:numPr>
          <w:ilvl w:val="0"/>
          <w:numId w:val="1"/>
        </w:numPr>
        <w:shd w:val="clear" w:color="auto" w:fill="FFFFFF"/>
        <w:ind w:left="0" w:hanging="360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color w:val="666666"/>
          <w:sz w:val="21"/>
          <w:szCs w:val="21"/>
          <w:lang w:eastAsia="pl-PL"/>
        </w:rPr>
        <w:t>Poziom kształcenia: studia II stopnia</w:t>
      </w:r>
    </w:p>
    <w:p>
      <w:pPr>
        <w:pStyle w:val="Normal"/>
        <w:numPr>
          <w:ilvl w:val="0"/>
          <w:numId w:val="1"/>
        </w:numPr>
        <w:shd w:val="clear" w:color="auto" w:fill="FFFFFF"/>
        <w:ind w:left="0" w:hanging="360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color w:val="666666"/>
          <w:sz w:val="21"/>
          <w:szCs w:val="21"/>
          <w:lang w:eastAsia="pl-PL"/>
        </w:rPr>
        <w:t>Tytuł zawodowy absolwenta: magister</w:t>
      </w:r>
    </w:p>
    <w:p>
      <w:pPr>
        <w:pStyle w:val="Normal"/>
        <w:shd w:val="clear" w:color="auto" w:fill="FFFFFF"/>
        <w:spacing w:before="75" w:after="75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b/>
          <w:bCs/>
          <w:color w:val="666666"/>
          <w:sz w:val="21"/>
          <w:szCs w:val="21"/>
          <w:lang w:eastAsia="pl-PL"/>
        </w:rPr>
        <w:t>Forma zajęć, metody dydaktyczne:</w:t>
      </w:r>
    </w:p>
    <w:p>
      <w:pPr>
        <w:pStyle w:val="Normal"/>
        <w:numPr>
          <w:ilvl w:val="0"/>
          <w:numId w:val="2"/>
        </w:numPr>
        <w:shd w:val="clear" w:color="auto" w:fill="FFFFFF"/>
        <w:ind w:left="0" w:hanging="360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color w:val="666666"/>
          <w:sz w:val="21"/>
          <w:szCs w:val="21"/>
          <w:lang w:eastAsia="pl-PL"/>
        </w:rPr>
        <w:t>wykład: problemowy, konserwatoryjny, z prezentacją multimedialną [prowadzone z wykorzystaniem metod i technik kształcenia na odległość];</w:t>
      </w:r>
    </w:p>
    <w:p>
      <w:pPr>
        <w:pStyle w:val="Normal"/>
        <w:numPr>
          <w:ilvl w:val="0"/>
          <w:numId w:val="2"/>
        </w:numPr>
        <w:shd w:val="clear" w:color="auto" w:fill="FFFFFF"/>
        <w:ind w:left="0" w:hanging="360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color w:val="666666"/>
          <w:sz w:val="21"/>
          <w:szCs w:val="21"/>
          <w:lang w:eastAsia="pl-PL"/>
        </w:rPr>
        <w:t>ćwiczenia: audytoryjne, warsztatowe, laboratoryjne, specjalistyczne: analiza tekstów z dyskusją, metoda projektów, gry symulacyjne, praca w parach lub grupach, analiza zdarzeń krytycznych, analiza przypadków, dyskusja, rozwiązywanie zadań;</w:t>
      </w:r>
    </w:p>
    <w:p>
      <w:pPr>
        <w:pStyle w:val="Normal"/>
        <w:numPr>
          <w:ilvl w:val="0"/>
          <w:numId w:val="2"/>
        </w:numPr>
        <w:shd w:val="clear" w:color="auto" w:fill="FFFFFF"/>
        <w:ind w:left="0" w:hanging="360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color w:val="666666"/>
          <w:sz w:val="21"/>
          <w:szCs w:val="21"/>
          <w:lang w:eastAsia="pl-PL"/>
        </w:rPr>
        <w:t>seminarium dyplomowe: opracowanie pracy dyplomowej;</w:t>
      </w:r>
    </w:p>
    <w:p>
      <w:pPr>
        <w:pStyle w:val="Normal"/>
        <w:numPr>
          <w:ilvl w:val="0"/>
          <w:numId w:val="2"/>
        </w:numPr>
        <w:shd w:val="clear" w:color="auto" w:fill="FFFFFF"/>
        <w:ind w:left="0" w:hanging="360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color w:val="666666"/>
          <w:sz w:val="21"/>
          <w:szCs w:val="21"/>
          <w:lang w:eastAsia="pl-PL"/>
        </w:rPr>
        <w:t>studencka praktyka zawodowa: 3 miesięczna.</w:t>
      </w:r>
    </w:p>
    <w:p>
      <w:pPr>
        <w:pStyle w:val="Normal"/>
        <w:shd w:val="clear" w:color="auto" w:fill="FFFFFF"/>
        <w:spacing w:before="75" w:after="75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b/>
          <w:bCs/>
          <w:color w:val="666666"/>
          <w:sz w:val="21"/>
          <w:szCs w:val="21"/>
          <w:lang w:eastAsia="pl-PL"/>
        </w:rPr>
        <w:t>Miejsca odbywania zajęć:</w:t>
      </w:r>
    </w:p>
    <w:p>
      <w:pPr>
        <w:pStyle w:val="Normal"/>
        <w:numPr>
          <w:ilvl w:val="0"/>
          <w:numId w:val="3"/>
        </w:numPr>
        <w:shd w:val="clear" w:color="auto" w:fill="FFFFFF"/>
        <w:ind w:left="0" w:hanging="360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color w:val="666666"/>
          <w:sz w:val="21"/>
          <w:szCs w:val="21"/>
          <w:lang w:eastAsia="pl-PL"/>
        </w:rPr>
        <w:t>Kampus nr 1 Siedziba główna WSIiZ w Warszawie [ul. Bitwy Warszawskiej 1920 r. nr 18]: wykłady, ćwiczenia audytoryjne i ćwiczenia laboratoryjne;</w:t>
      </w:r>
    </w:p>
    <w:p>
      <w:pPr>
        <w:pStyle w:val="Normal"/>
        <w:numPr>
          <w:ilvl w:val="0"/>
          <w:numId w:val="3"/>
        </w:numPr>
        <w:shd w:val="clear" w:color="auto" w:fill="FFFFFF"/>
        <w:ind w:left="0" w:hanging="360"/>
        <w:rPr>
          <w:rFonts w:ascii="Arial" w:hAnsi="Arial" w:cs="Arial"/>
          <w:color w:val="666666"/>
          <w:sz w:val="21"/>
          <w:szCs w:val="21"/>
          <w:lang w:eastAsia="pl-PL"/>
        </w:rPr>
      </w:pPr>
      <w:r>
        <w:rPr>
          <w:rFonts w:cs="Arial" w:ascii="Arial" w:hAnsi="Arial"/>
          <w:color w:val="666666"/>
          <w:sz w:val="21"/>
          <w:szCs w:val="21"/>
          <w:lang w:eastAsia="pl-PL"/>
        </w:rPr>
        <w:t>Kampus nr 2 [Al. Jerozolimskie 195a]: wykłady, ćwiczenia audytoryjne;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Style w:val="Strong"/>
          <w:rFonts w:cs="Arial" w:ascii="Arial" w:hAnsi="Arial"/>
          <w:color w:val="FFFFFF"/>
          <w:sz w:val="21"/>
          <w:szCs w:val="21"/>
          <w:shd w:fill="364E72" w:val="clear"/>
        </w:rPr>
        <w:t>PERSPEKTYWY I UMIEJĘTNOŚCI ABSOLWENTA</w:t>
      </w:r>
    </w:p>
    <w:p>
      <w:pPr>
        <w:pStyle w:val="Default"/>
        <w:rPr/>
      </w:pPr>
      <w:r>
        <w:rPr/>
      </w:r>
    </w:p>
    <w:p>
      <w:pPr>
        <w:pStyle w:val="Default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Podstawowym celem kształcenia na kierunku </w:t>
      </w:r>
      <w:r>
        <w:rPr>
          <w:rStyle w:val="Strong"/>
          <w:rFonts w:cs="Arial" w:ascii="Arial" w:hAnsi="Arial"/>
          <w:color w:val="666666"/>
          <w:sz w:val="21"/>
          <w:szCs w:val="21"/>
        </w:rPr>
        <w:t>technologia kosmetyku</w:t>
      </w:r>
      <w:r>
        <w:rPr>
          <w:rFonts w:cs="Arial" w:ascii="Arial" w:hAnsi="Arial"/>
          <w:color w:val="666666"/>
          <w:sz w:val="21"/>
          <w:szCs w:val="21"/>
        </w:rPr>
        <w:t> </w:t>
      </w:r>
      <w:r>
        <w:rPr>
          <w:rFonts w:cs="Arial" w:ascii="Arial" w:hAnsi="Arial"/>
          <w:color w:val="7F7F7F"/>
          <w:sz w:val="21"/>
          <w:szCs w:val="21"/>
        </w:rPr>
        <w:t xml:space="preserve">jest wykształcenie wysoko wykwalifikowanych specjalistów, którzy dzięki szerokiej wiedzy interdyscyplinarnej, ze szczególnym uwzględnieniem wiedzy z zakresu nauk chemicznych, inżynierii chemicznej oraz nauk o zarządzaniu i jakości będą konkurencyjną, a co ważne pożądaną i poszukiwaną kadrą zarówna na lokalnym, krajowym, a także i europejskim rynku pracy. </w:t>
      </w:r>
    </w:p>
    <w:p>
      <w:pPr>
        <w:pStyle w:val="Normal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</w:r>
    </w:p>
    <w:p>
      <w:pPr>
        <w:pStyle w:val="Normal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Program kształcenia kładzie nacisk na uzyskanie przez absolwenta wiedzy teoretycznej i umiejętności praktycznych w zakresie procesu wytwarzania produktów kosmetycznych oraz ich oddziaływania na człowieka i środowisko przyrodnicze. Proces kształcenia na tym kierunku zapewnia absolwentowi zdobycie wiedzy o składzie, zastosowaniach, produkcji, badaniach i ocenie jakości specjalistycznej grupy produktów, do której należą wyroby kosmetyczne. Studenci mają możliwość poznania wszystkich aspektów współczesnych technologii i produkcji wyrobów kosmetycznych w przemyśle kosmetycznym. Do ich kompetencji należeć będzie efektywne zarządzanie poszczególnymi etapami procesu produkcji z zachowaniem najwyższych standardów jakości i ekonomiki proponowanych rozwiązań. </w:t>
      </w:r>
    </w:p>
    <w:p>
      <w:pPr>
        <w:pStyle w:val="Default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</w:r>
    </w:p>
    <w:p>
      <w:pPr>
        <w:pStyle w:val="Default"/>
        <w:rPr>
          <w:rFonts w:ascii="Arial" w:hAnsi="Arial" w:cs="Arial"/>
          <w:b/>
          <w:b/>
          <w:bCs/>
          <w:color w:val="7F7F7F"/>
          <w:sz w:val="21"/>
          <w:szCs w:val="21"/>
        </w:rPr>
      </w:pPr>
      <w:r>
        <w:rPr>
          <w:rFonts w:cs="Arial" w:ascii="Arial" w:hAnsi="Arial"/>
          <w:b/>
          <w:bCs/>
          <w:color w:val="7F7F7F"/>
          <w:sz w:val="21"/>
          <w:szCs w:val="21"/>
        </w:rPr>
        <w:t>Głównym celem realizacji kształcenia na kierunku technologia kosmetyku</w:t>
      </w:r>
      <w:r>
        <w:rPr>
          <w:rFonts w:cs="Arial" w:ascii="Arial" w:hAnsi="Arial"/>
          <w:b/>
          <w:bCs/>
          <w:i/>
          <w:iCs/>
          <w:color w:val="7F7F7F"/>
          <w:sz w:val="21"/>
          <w:szCs w:val="21"/>
        </w:rPr>
        <w:t xml:space="preserve"> </w:t>
      </w:r>
      <w:r>
        <w:rPr>
          <w:rFonts w:cs="Arial" w:ascii="Arial" w:hAnsi="Arial"/>
          <w:b/>
          <w:bCs/>
          <w:color w:val="7F7F7F"/>
          <w:sz w:val="21"/>
          <w:szCs w:val="21"/>
        </w:rPr>
        <w:t xml:space="preserve">jest wykształcenie kadr przygotowanych do pracy w obszarze przemysłu kosmetycznego m.in. </w:t>
      </w:r>
    </w:p>
    <w:p>
      <w:pPr>
        <w:pStyle w:val="Default"/>
        <w:numPr>
          <w:ilvl w:val="0"/>
          <w:numId w:val="3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laboratoriach badawczo-rozwojowych </w:t>
      </w:r>
    </w:p>
    <w:p>
      <w:pPr>
        <w:pStyle w:val="Default"/>
        <w:numPr>
          <w:ilvl w:val="0"/>
          <w:numId w:val="3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laboratoriach prowadzących analizy w zakresie oceny jakości i bezpieczeństwa produktów kosmetycznych </w:t>
      </w:r>
    </w:p>
    <w:p>
      <w:pPr>
        <w:pStyle w:val="Default"/>
        <w:numPr>
          <w:ilvl w:val="0"/>
          <w:numId w:val="3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przedsiębiorstwach zajmujących się produkcją i dystrybucją surowców kosmetycznych </w:t>
      </w:r>
    </w:p>
    <w:p>
      <w:pPr>
        <w:pStyle w:val="Default"/>
        <w:numPr>
          <w:ilvl w:val="0"/>
          <w:numId w:val="3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przedsiębiorstwach zajmujących się produkcją i dystrybucją kosmetyków </w:t>
      </w:r>
    </w:p>
    <w:p>
      <w:pPr>
        <w:pStyle w:val="Default"/>
        <w:numPr>
          <w:ilvl w:val="0"/>
          <w:numId w:val="3"/>
        </w:numPr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przedsiębiorstwach zajmujących się wprowadzaniem do obrotu produktów kosmetycznych. </w:t>
      </w:r>
    </w:p>
    <w:p>
      <w:pPr>
        <w:pStyle w:val="Default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</w:r>
    </w:p>
    <w:p>
      <w:pPr>
        <w:pStyle w:val="Default"/>
        <w:rPr>
          <w:rFonts w:ascii="Arial" w:hAnsi="Arial" w:cs="Arial"/>
          <w:b/>
          <w:b/>
          <w:bCs/>
          <w:color w:val="7F7F7F"/>
          <w:sz w:val="21"/>
          <w:szCs w:val="21"/>
        </w:rPr>
      </w:pPr>
      <w:r>
        <w:rPr>
          <w:rFonts w:cs="Arial" w:ascii="Arial" w:hAnsi="Arial"/>
          <w:b/>
          <w:bCs/>
          <w:color w:val="7F7F7F"/>
          <w:sz w:val="21"/>
          <w:szCs w:val="21"/>
        </w:rPr>
      </w:r>
    </w:p>
    <w:p>
      <w:pPr>
        <w:pStyle w:val="Default"/>
        <w:rPr>
          <w:rFonts w:ascii="Arial" w:hAnsi="Arial" w:cs="Arial"/>
          <w:b/>
          <w:b/>
          <w:bCs/>
          <w:color w:val="7F7F7F"/>
          <w:sz w:val="21"/>
          <w:szCs w:val="21"/>
        </w:rPr>
      </w:pPr>
      <w:r>
        <w:rPr>
          <w:rFonts w:cs="Arial" w:ascii="Arial" w:hAnsi="Arial"/>
          <w:b/>
          <w:bCs/>
          <w:color w:val="7F7F7F"/>
          <w:sz w:val="21"/>
          <w:szCs w:val="21"/>
        </w:rPr>
        <w:t>Absolwent studiów jest przygotowany do realizacji następujących działań oraz wykorzystania w praktyce zawodowej poniższych kompetencji:</w:t>
      </w:r>
    </w:p>
    <w:p>
      <w:pPr>
        <w:pStyle w:val="Default"/>
        <w:rPr/>
      </w:pPr>
      <w:r>
        <w:rPr/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tworzenie receptur kosmetyków, również z uwzględnieniem kosmetyków certyfikowanych, 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weryfikacja kart charakterystyki, specyfikacji, etykiet sprawdzanie i akceptacja zgodności z Dyrektywą UE oraz składów produktów kosmetycznych, 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tworzenie dokumentacji dla produktów kosmetycznych na potrzeby klientów zagranicznych oraz krajowych oraz interpretacja wyników w odniesieniu do przepisów, specyfikacji, wymagań klienta, 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>prowadzenie dokumentacji ISO i GMP,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sporządzanie dokumentacji na potrzeby audytów wewnętrznych i zewnętrznych, 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rejestracja produktów w bazie, 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prowadzenie badań próbek masy kosmetycznej oraz komponentów, 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pobieranie próbek, prowadzenie wymaganych badań dla wyrobu gotowego, 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wykonywanie badań kosmetyków - kontrola jakości wytwarzanych kosmetyków, 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wykonywanie analiz fizykochemicznych o charakterze ilościowym i jakościowym surowców oraz wyrobów gotowych, 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>nadzór nad produktami aktualnie wytwarzanymi w zakresie technologii wytwarzania, optymalizacja procesów produkcyjnych, transferu technologii,  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>zapewnienie zgodności działań z obowiązującymi procedurami i instrukcjami,  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>utrzymanie w odpowiednim stanie sprzętu kontrolnego,  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>sporządzanie dokumentacji w zakresie stanowiska (np. metody technologiczne, metody kontroli),  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>współpraca przy tworzeniu i aktualizacji obowiązującej dokumentacji systemowej (procedury wewnętrzne, instrukcji do sprzętów kontrolno-pomiarowych),  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 xml:space="preserve">nadzorem nad dobrymi praktykami laboratoryjnymi, 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>udziałem w projektach prowadzonych w przedmiotowym laboratorium,   </w:t>
      </w:r>
    </w:p>
    <w:p>
      <w:pPr>
        <w:pStyle w:val="Default"/>
        <w:numPr>
          <w:ilvl w:val="0"/>
          <w:numId w:val="4"/>
        </w:numPr>
        <w:spacing w:before="0" w:after="44"/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>opracowywanie i walidacja metod analitycznych dla produktów chemii gospodarczej, kosmetyków, opakowań,  </w:t>
      </w:r>
    </w:p>
    <w:p>
      <w:pPr>
        <w:pStyle w:val="Default"/>
        <w:numPr>
          <w:ilvl w:val="0"/>
          <w:numId w:val="4"/>
        </w:numPr>
        <w:rPr>
          <w:rFonts w:ascii="Arial" w:hAnsi="Arial" w:cs="Arial"/>
          <w:color w:val="7F7F7F"/>
          <w:sz w:val="21"/>
          <w:szCs w:val="21"/>
        </w:rPr>
      </w:pPr>
      <w:r>
        <w:rPr>
          <w:rFonts w:cs="Arial" w:ascii="Arial" w:hAnsi="Arial"/>
          <w:color w:val="7F7F7F"/>
          <w:sz w:val="21"/>
          <w:szCs w:val="21"/>
        </w:rPr>
        <w:t>udział w projektach wdrożeniowych oraz w pracach laboratoryjnych w projektach B+R.  </w:t>
      </w:r>
    </w:p>
    <w:p>
      <w:pPr>
        <w:pStyle w:val="Normal"/>
        <w:spacing w:before="0" w:after="240"/>
        <w:rPr>
          <w:lang w:eastAsia="pl-PL"/>
        </w:rPr>
      </w:pPr>
      <w:r>
        <w:rPr>
          <w:lang w:eastAsia="pl-PL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a1f06"/>
    <w:pPr>
      <w:widowControl/>
      <w:bidi w:val="0"/>
      <w:spacing w:lineRule="auto" w:line="240" w:before="0" w:after="0"/>
      <w:jc w:val="left"/>
    </w:pPr>
    <w:rPr>
      <w:rFonts w:ascii="Calibri" w:hAnsi="Calibri" w:cs="Times New Roman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8a1f06"/>
    <w:rPr>
      <w:b/>
      <w:bCs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8a1f06"/>
    <w:pPr>
      <w:spacing w:beforeAutospacing="1" w:afterAutospacing="1"/>
    </w:pPr>
    <w:rPr>
      <w:rFonts w:ascii="Times New Roman" w:hAnsi="Times New Roman"/>
      <w:sz w:val="24"/>
      <w:szCs w:val="24"/>
      <w:lang w:eastAsia="pl-PL"/>
    </w:rPr>
  </w:style>
  <w:style w:type="paragraph" w:styleId="Default" w:customStyle="1">
    <w:name w:val="Default"/>
    <w:basedOn w:val="Normal"/>
    <w:uiPriority w:val="99"/>
    <w:semiHidden/>
    <w:qFormat/>
    <w:rsid w:val="008a1f06"/>
    <w:pPr/>
    <w:rPr>
      <w:rFonts w:ascii="Times New Roman" w:hAnsi="Times New Roman"/>
      <w:color w:val="000000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LibreOffice/7.0.1.2$Windows_X86_64 LibreOffice_project/7cbcfc562f6eb6708b5ff7d7397325de9e764452</Application>
  <Pages>2</Pages>
  <Words>639</Words>
  <Characters>4736</Characters>
  <CharactersWithSpaces>5331</CharactersWithSpaces>
  <Paragraphs>46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2021-03-15T07:37:00Z</dcterms:created>
  <dc:creator>Sebastian Piaseczny</dc:creator>
  <dc:description/>
  <dc:language>pl-PL</dc:language>
  <cp:lastModifiedBy>Sebastian Piaseczny</cp:lastModifiedBy>
  <dcterms:modified xsi:type="dcterms:W3CDTF">2021-03-15T07:39:00Z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