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58" w:leader="none"/>
          <w:tab w:val="left" w:pos="98" w:leader="none"/>
          <w:tab w:val="right" w:pos="284" w:leader="none"/>
        </w:tabs>
        <w:ind w:left="-54" w:hanging="0"/>
        <w:jc w:val="both"/>
        <w:rPr>
          <w:b/>
          <w:b/>
          <w:strike/>
          <w:color w:val="353C7C"/>
          <w:sz w:val="22"/>
          <w:szCs w:val="22"/>
        </w:rPr>
      </w:pPr>
      <w:bookmarkStart w:id="0" w:name="_GoBack"/>
      <w:bookmarkEnd w:id="0"/>
      <w:r>
        <w:rPr>
          <w:b/>
          <w:color w:val="353C7C"/>
          <w:sz w:val="22"/>
          <w:szCs w:val="22"/>
        </w:rPr>
        <w:t xml:space="preserve">w sprawie przyznania Certyfikatów Doskonałości Kształcenia </w:t>
      </w:r>
    </w:p>
    <w:p>
      <w:pPr>
        <w:pStyle w:val="Normal"/>
        <w:tabs>
          <w:tab w:val="clear" w:pos="708"/>
          <w:tab w:val="right" w:pos="58" w:leader="none"/>
          <w:tab w:val="left" w:pos="98" w:leader="none"/>
          <w:tab w:val="right" w:pos="284" w:leader="none"/>
        </w:tabs>
        <w:ind w:left="-54" w:hanging="0"/>
        <w:jc w:val="both"/>
        <w:rPr>
          <w:b/>
          <w:b/>
          <w:color w:val="353C7C"/>
          <w:sz w:val="22"/>
          <w:szCs w:val="22"/>
        </w:rPr>
      </w:pPr>
      <w:r>
        <w:rPr>
          <w:b/>
          <w:color w:val="353C7C"/>
          <w:sz w:val="22"/>
          <w:szCs w:val="22"/>
        </w:rPr>
      </w:r>
    </w:p>
    <w:p>
      <w:pPr>
        <w:pStyle w:val="Normal"/>
        <w:tabs>
          <w:tab w:val="clear" w:pos="708"/>
          <w:tab w:val="left" w:pos="1418" w:leader="none"/>
        </w:tabs>
        <w:ind w:left="142" w:hanging="0"/>
        <w:jc w:val="center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>§ 1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both"/>
        <w:rPr>
          <w:rFonts w:ascii="Calibri" w:hAnsi="Calibri" w:eastAsia="Times New Roman" w:cs="Arial"/>
          <w:sz w:val="22"/>
          <w:szCs w:val="20"/>
          <w:highlight w:val="yellow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 xml:space="preserve">Na podstawie art. 250 ustawy z dnia 20 lipca 2018 r. – Prawo o szkolnictwie wyższym i nauce (t.j. Dz. U. z 2020 r. poz. 85 z późn. zm.) oraz § 4 ust. 14 i § 9 ust. 3 pkt 10 oraz załącznika nr 4 do Statutu Polskiej Komisji Akredytacyjnej, Prezydium Polskiej Komisji Akredytacyjnej, po zapoznaniu się z wnioskami zespołów </w:t>
      </w:r>
      <w:bookmarkStart w:id="1" w:name="_Hlk58241065"/>
      <w:r>
        <w:rPr>
          <w:rFonts w:eastAsia="Times New Roman" w:cs="Arial"/>
          <w:sz w:val="22"/>
          <w:szCs w:val="20"/>
          <w:lang w:eastAsia="pl-PL"/>
        </w:rPr>
        <w:t>działających w ramach dziedzin nauki i dziedziny sztuki</w:t>
      </w:r>
      <w:bookmarkEnd w:id="1"/>
      <w:r>
        <w:rPr>
          <w:rFonts w:eastAsia="Times New Roman" w:cs="Arial"/>
          <w:sz w:val="22"/>
          <w:szCs w:val="20"/>
          <w:lang w:eastAsia="pl-PL"/>
        </w:rPr>
        <w:t>, przyznaje: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spacing w:before="120" w:after="0"/>
        <w:jc w:val="center"/>
        <w:rPr>
          <w:rFonts w:ascii="Calibri" w:hAnsi="Calibri" w:eastAsia="Times New Roman" w:cs="Arial"/>
          <w:b/>
          <w:b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color w:val="353C7C"/>
          <w:sz w:val="22"/>
          <w:szCs w:val="20"/>
          <w:lang w:eastAsia="pl-PL"/>
        </w:rPr>
        <w:t>Certyfikat Doskonałości Kształcenia w kategorii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spacing w:before="120" w:after="0"/>
        <w:jc w:val="center"/>
        <w:rPr>
          <w:rFonts w:ascii="Calibri" w:hAnsi="Calibri" w:eastAsia="Times New Roman" w:cs="Arial"/>
          <w:b/>
          <w:b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color w:val="353C7C"/>
          <w:sz w:val="22"/>
          <w:szCs w:val="20"/>
          <w:lang w:eastAsia="pl-PL"/>
        </w:rPr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center"/>
        <w:rPr>
          <w:rFonts w:ascii="Calibri" w:hAnsi="Calibri" w:eastAsia="Times New Roman" w:cs="Arial"/>
          <w:b/>
          <w:b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i/>
          <w:color w:val="353C7C"/>
          <w:sz w:val="22"/>
          <w:szCs w:val="20"/>
          <w:lang w:eastAsia="pl-PL"/>
        </w:rPr>
        <w:t>Doskonały kierunek</w:t>
      </w:r>
      <w:r>
        <w:rPr/>
        <w:t xml:space="preserve"> </w:t>
      </w:r>
      <w:r>
        <w:rPr>
          <w:rFonts w:eastAsia="Times New Roman" w:cs="Arial"/>
          <w:b/>
          <w:color w:val="353C7C"/>
          <w:sz w:val="22"/>
          <w:szCs w:val="20"/>
          <w:lang w:eastAsia="pl-PL"/>
        </w:rPr>
        <w:t>– doskonałość w kształceniu kierunkom: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architektura na Politechnice Krakowskiej im. Tadeusza Kościuszki w Krakowie – studia pierwszego i 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astronomia na Uniwersytecie Warszawskim – studia pierwszego i drugiego stopnia o 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biotechnologia na Międzyuczelnianym Wydziale Biotechnologii Uniwersytetu Gdańskiego i Gdańskiego Uniwersytetu Medycznego – studia pierwszego i 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chemia na Uniwersytecie Warszawskim – studia pierwszego i 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ekonomia na Uniwersytecie Warszawskim – studia pierwszego i 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etnologia na Uniwersytecie im. Adama Mickiewicza w Poznaniu – studia pierwszego i 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informatyka i ekonometria na Uniwersytecie Warszawskim – studia pierwszego i 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reżyseria dźwięku na Uniwersytecie Muzycznym Fryderyka Chopina w Warszawie – studia pierwszego i drugiego stopnia o profilu ogólnoakademickim,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zarządzanie i dowodzenie w Akademii Sztuki Wojennej w Warszawie – studia pierwszego i drugiego stopnia o profilu ogólnoakademickim.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right" w:pos="58" w:leader="none"/>
          <w:tab w:val="left" w:pos="98" w:leader="none"/>
          <w:tab w:val="right" w:pos="284" w:leader="none"/>
        </w:tabs>
        <w:ind w:left="-54" w:hanging="0"/>
        <w:jc w:val="center"/>
        <w:rPr>
          <w:b/>
          <w:b/>
          <w:color w:val="353C7C"/>
          <w:sz w:val="22"/>
          <w:szCs w:val="22"/>
        </w:rPr>
      </w:pPr>
      <w:r>
        <w:rPr>
          <w:b/>
          <w:i/>
          <w:color w:val="353C7C"/>
          <w:sz w:val="22"/>
          <w:szCs w:val="22"/>
        </w:rPr>
        <w:t>Zawsze dla studenta</w:t>
      </w:r>
      <w:r>
        <w:rPr>
          <w:b/>
          <w:color w:val="353C7C"/>
          <w:sz w:val="22"/>
          <w:szCs w:val="22"/>
        </w:rPr>
        <w:t xml:space="preserve"> – doskonałość we wsparciu rozwoju studentów kierunkom: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inżynieria materiałowa na Politechnice Warszawskiej – studia pierwszego i drugiego stopnia o profilu ogólnoakademickim.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center"/>
        <w:rPr>
          <w:rFonts w:ascii="Calibri" w:hAnsi="Calibri" w:eastAsia="Times New Roman" w:cs="Arial"/>
          <w:b/>
          <w:b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i/>
          <w:color w:val="353C7C"/>
          <w:sz w:val="22"/>
          <w:szCs w:val="20"/>
          <w:lang w:eastAsia="pl-PL"/>
        </w:rPr>
        <w:t xml:space="preserve">Otwarty na świat </w:t>
      </w:r>
      <w:r>
        <w:rPr>
          <w:rFonts w:eastAsia="Times New Roman" w:cs="Arial"/>
          <w:b/>
          <w:color w:val="353C7C"/>
          <w:sz w:val="22"/>
          <w:szCs w:val="20"/>
          <w:lang w:eastAsia="pl-PL"/>
        </w:rPr>
        <w:t>– doskonałość we współpracy międzynarodowej kierunkom: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automatyka i robotyka w Akademii Górniczo-Hutniczej im. Stanisława Staszica w Krakowie – studia pierwszego i drugiego stopnia o 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automatyka i robotyka na Politechnice Warszawskiej – studia pierwszego i 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biologia na Uniwersytecie Łódzkim – studia pierwszego i 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energetyka na Politechnice Warszawskiej – studia pierwszego i 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finanse, inwestycje i rachunkowość na Uniwersytecie Warszawskim – studia pierwszego i 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kompozycja i teoria muzyki w Akademii Muzycznej im. Karola Lipińskiego we Wrocławiu – studia pierwszego i 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międzynarodowe stosunki gospodarcze w Szkole Głównej Handlowej w Warszawie – studia pierwszego i drugiego stopnia o profilu ogólnoakademickim,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socjologia na Uniwersytecie Opolskiem – studia pierwszego i drugiego stopnia o profilu ogólnoakademickim.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center"/>
        <w:rPr>
          <w:rFonts w:ascii="Calibri" w:hAnsi="Calibri" w:eastAsia="Times New Roman" w:cs="Arial"/>
          <w:b/>
          <w:b/>
          <w:i/>
          <w:i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i/>
          <w:color w:val="353C7C"/>
          <w:sz w:val="22"/>
          <w:szCs w:val="20"/>
          <w:lang w:eastAsia="pl-PL"/>
        </w:rPr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center"/>
        <w:rPr>
          <w:rFonts w:ascii="Calibri" w:hAnsi="Calibri" w:eastAsia="Times New Roman" w:cs="Arial"/>
          <w:b/>
          <w:b/>
          <w:color w:val="353C7C"/>
          <w:sz w:val="22"/>
          <w:szCs w:val="20"/>
          <w:lang w:eastAsia="pl-PL"/>
        </w:rPr>
      </w:pPr>
      <w:r>
        <w:rPr>
          <w:rFonts w:eastAsia="Times New Roman" w:cs="Arial"/>
          <w:b/>
          <w:i/>
          <w:color w:val="353C7C"/>
          <w:sz w:val="22"/>
          <w:szCs w:val="20"/>
          <w:lang w:eastAsia="pl-PL"/>
        </w:rPr>
        <w:t>Partner dla rozwoju</w:t>
      </w:r>
      <w:r>
        <w:rPr>
          <w:rFonts w:eastAsia="Times New Roman" w:cs="Arial"/>
          <w:b/>
          <w:color w:val="353C7C"/>
          <w:sz w:val="22"/>
          <w:szCs w:val="20"/>
          <w:lang w:eastAsia="pl-PL"/>
        </w:rPr>
        <w:t xml:space="preserve"> –</w:t>
      </w:r>
      <w:r>
        <w:rPr/>
        <w:t xml:space="preserve"> </w:t>
      </w:r>
      <w:r>
        <w:rPr>
          <w:rFonts w:eastAsia="Times New Roman" w:cs="Arial"/>
          <w:b/>
          <w:color w:val="353C7C"/>
          <w:sz w:val="22"/>
          <w:szCs w:val="20"/>
          <w:lang w:eastAsia="pl-PL"/>
        </w:rPr>
        <w:t>doskonałość we współpracy z otoczeniem społeczno-gospodarczym kierunkom: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chemia na Uniwersytecie Marii Curie-Skłodowskiej w Lublinie – studia pierwszego i drugiego stopnia o profilu ogólnoakademickim,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energetyka na Politechnice Warszawskiej – studia pierwszego i drugiego stopnia o profilu ogólnoakademickim,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finanse i rachunkowość na Uniwersytecie Ekonomicznym w Krakowie – studia pierwszego i drugiego stopnia o profilu ogólnoakademickim,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gospodarka przestrzenna na Uniwersytecie Ekonomicznym w Krakowie – studia pierwszego i drugiego stopnia o profilu ogólnoakademickim,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1985" w:leader="none"/>
        </w:tabs>
        <w:ind w:left="284" w:hanging="284"/>
        <w:jc w:val="both"/>
        <w:rPr>
          <w:rStyle w:val="Strong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>kompozycja i teoria muzyki w Akademii Muzycznej im. Karola Lipińskiego we Wrocławiu – studia pierwszego i drugiego stopnia o profilu ogólnoakademickim.</w:t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</w:r>
    </w:p>
    <w:p>
      <w:pPr>
        <w:pStyle w:val="Normal"/>
        <w:tabs>
          <w:tab w:val="clear" w:pos="708"/>
          <w:tab w:val="left" w:pos="1418" w:leader="none"/>
          <w:tab w:val="left" w:pos="1985" w:leader="none"/>
        </w:tabs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>Prezydium Polskiej Komisji Akredytacyjnej stwierdza, że wyżej wymienione kierunki studiów otrzymały pozytywną ocenę programową na 6 lat popartą dobrymi praktykami w zakresie jakości kształcenia lub udokumentowanymi, regularnymi osiągnięciami studentów i absolwentów. Wnioski w sprawie przyznania certyfikatów złożyli przewodniczący zespołów działających w ramach dziedzin nauki i dziedziny sztuki, kierując się rekomendacją zawartą w opinii zespołu.</w:t>
      </w:r>
      <w:bookmarkStart w:id="2" w:name="_Hlk18401810"/>
      <w:bookmarkEnd w:id="2"/>
    </w:p>
    <w:p>
      <w:pPr>
        <w:pStyle w:val="Normal"/>
        <w:tabs>
          <w:tab w:val="clear" w:pos="708"/>
          <w:tab w:val="left" w:pos="1418" w:leader="none"/>
        </w:tabs>
        <w:ind w:left="142" w:hanging="0"/>
        <w:jc w:val="center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>§ 3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>Uchwałę Prezydium Polskiej Komisji Akredytacyjnej otrzymują: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eastAsia="Times New Roman" w:cs="Calibri" w:cstheme="minorHAnsi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Minister Edukacji i Nauki,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 xml:space="preserve">Rektor </w:t>
      </w:r>
      <w:r>
        <w:rPr>
          <w:rStyle w:val="Strong"/>
          <w:b w:val="false"/>
          <w:bCs w:val="false"/>
          <w:sz w:val="22"/>
          <w:szCs w:val="22"/>
        </w:rPr>
        <w:t>Akademii Górniczo-Hutniczej im. Stanisława Staszica w Krakowie,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Akademii Muzycznej im. Karola Lipińskiego we Wrocławiu,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Akademii Sztuki Wojennej w Warszawie,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Gdańskiego Uniwersytetu Medycznego,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Ekonomicznego w Krakowie,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Gdańskiego,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im. Adama Mickiewicza w Poznaniu,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Łódzkiego,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Marii Curie-Skłodowskiej w Lublinie,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Uniwersytetu Muzycznego Fryderyka Chopina w Warszawie,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Uniwersytecie Opolskiego,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 Uniwersytetu Warszawskiego</w:t>
      </w:r>
      <w:r>
        <w:rPr>
          <w:rStyle w:val="Strong"/>
          <w:b w:val="false"/>
          <w:bCs w:val="false"/>
          <w:sz w:val="22"/>
          <w:szCs w:val="22"/>
        </w:rPr>
        <w:t>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Politechniki Krakowskiej im. Tadeusza Kościuszki w Krakowie</w:t>
      </w:r>
      <w:r>
        <w:rPr>
          <w:rFonts w:eastAsia="Times New Roman" w:cs="Calibri" w:cstheme="minorHAnsi"/>
          <w:sz w:val="22"/>
          <w:szCs w:val="20"/>
          <w:lang w:eastAsia="pl-PL"/>
        </w:rPr>
        <w:t>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Politechniki Warszawskiej,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Style w:val="Strong"/>
          <w:rFonts w:ascii="Calibri" w:hAnsi="Calibri" w:eastAsia="Times New Roman" w:cs="Arial"/>
          <w:b w:val="false"/>
          <w:b w:val="false"/>
          <w:bCs w:val="false"/>
          <w:sz w:val="22"/>
          <w:szCs w:val="20"/>
          <w:lang w:eastAsia="pl-PL"/>
        </w:rPr>
      </w:pPr>
      <w:r>
        <w:rPr>
          <w:rFonts w:eastAsia="Times New Roman" w:cs="Calibri" w:cstheme="minorHAnsi"/>
          <w:sz w:val="22"/>
          <w:szCs w:val="20"/>
          <w:lang w:eastAsia="pl-PL"/>
        </w:rPr>
        <w:t>Rektor</w:t>
      </w:r>
      <w:r>
        <w:rPr>
          <w:rStyle w:val="Strong"/>
          <w:b w:val="false"/>
          <w:bCs w:val="false"/>
          <w:sz w:val="22"/>
          <w:szCs w:val="22"/>
        </w:rPr>
        <w:t xml:space="preserve"> Szkoły Głównej Handlowej w Warszawie.</w:t>
      </w:r>
    </w:p>
    <w:p>
      <w:pPr>
        <w:pStyle w:val="Normal"/>
        <w:tabs>
          <w:tab w:val="clear" w:pos="708"/>
          <w:tab w:val="left" w:pos="1418" w:leader="none"/>
        </w:tabs>
        <w:ind w:left="142" w:hanging="0"/>
        <w:jc w:val="center"/>
        <w:rPr>
          <w:rFonts w:ascii="Calibri" w:hAnsi="Calibri" w:eastAsia="Times New Roman" w:cs="Arial"/>
          <w:sz w:val="22"/>
          <w:szCs w:val="20"/>
          <w:lang w:eastAsia="pl-PL"/>
        </w:rPr>
      </w:pPr>
      <w:r>
        <w:rPr>
          <w:rFonts w:eastAsia="Times New Roman" w:cs="Arial"/>
          <w:sz w:val="22"/>
          <w:szCs w:val="20"/>
          <w:lang w:eastAsia="pl-PL"/>
        </w:rPr>
        <w:t>§ 4</w:t>
      </w:r>
    </w:p>
    <w:p>
      <w:pPr>
        <w:pStyle w:val="Normal"/>
        <w:tabs>
          <w:tab w:val="clear" w:pos="708"/>
          <w:tab w:val="left" w:pos="1418" w:leader="none"/>
        </w:tabs>
        <w:ind w:left="142" w:hanging="0"/>
        <w:jc w:val="both"/>
        <w:rPr/>
      </w:pPr>
      <w:r>
        <w:rPr>
          <w:rFonts w:eastAsia="Times New Roman" w:cs="Arial"/>
          <w:sz w:val="22"/>
          <w:szCs w:val="20"/>
          <w:lang w:eastAsia="pl-PL"/>
        </w:rPr>
        <w:t>Uchwała wchodzi w życie z dniem podjęcia.</w:t>
      </w:r>
    </w:p>
    <w:p>
      <w:pPr>
        <w:pStyle w:val="Normal"/>
        <w:rPr/>
      </w:pPr>
      <w:r>
        <w:rPr/>
      </w:r>
    </w:p>
    <w:p>
      <w:pPr>
        <w:pStyle w:val="Normal"/>
        <w:ind w:firstLine="3119"/>
        <w:jc w:val="center"/>
        <w:rPr>
          <w:color w:val="353C7C"/>
          <w:sz w:val="22"/>
          <w:szCs w:val="22"/>
        </w:rPr>
      </w:pPr>
      <w:r>
        <w:rPr>
          <w:color w:val="353C7C"/>
          <w:sz w:val="22"/>
          <w:szCs w:val="22"/>
        </w:rPr>
        <w:t>Przewodniczący</w:t>
      </w:r>
    </w:p>
    <w:p>
      <w:pPr>
        <w:pStyle w:val="Normal"/>
        <w:ind w:firstLine="3119"/>
        <w:jc w:val="center"/>
        <w:rPr>
          <w:sz w:val="22"/>
          <w:szCs w:val="22"/>
        </w:rPr>
      </w:pPr>
      <w:r>
        <w:rPr>
          <w:sz w:val="22"/>
          <w:szCs w:val="22"/>
        </w:rPr>
        <w:t>Polskiej Komisji Akredytacyjnej</w:t>
      </w:r>
    </w:p>
    <w:p>
      <w:pPr>
        <w:pStyle w:val="Normal"/>
        <w:ind w:firstLine="3119"/>
        <w:jc w:val="center"/>
        <w:rPr>
          <w:sz w:val="20"/>
          <w:szCs w:val="20"/>
        </w:rPr>
      </w:pPr>
      <w:r>
        <w:rPr>
          <w:sz w:val="20"/>
          <w:szCs w:val="20"/>
        </w:rPr>
        <w:t>podpisano podpisem kwalifikowanym w dniu 10.12.2020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325" w:right="1211" w:header="510" w:top="953" w:footer="0" w:bottom="1135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3119"/>
        <w:jc w:val="center"/>
        <w:rPr>
          <w:sz w:val="22"/>
          <w:szCs w:val="22"/>
        </w:rPr>
      </w:pPr>
      <w:r>
        <w:rPr>
          <w:sz w:val="22"/>
          <w:szCs w:val="22"/>
        </w:rPr>
        <w:t>Krzysztof Diks</w:t>
      </w:r>
    </w:p>
    <w:p>
      <w:pPr>
        <w:pStyle w:val="Footer"/>
        <w:tabs>
          <w:tab w:val="left" w:pos="708" w:leader="none"/>
          <w:tab w:val="center" w:pos="4536" w:leader="none"/>
          <w:tab w:val="right" w:pos="9072" w:leader="none"/>
        </w:tabs>
        <w:ind w:firstLine="708"/>
        <w:jc w:val="right"/>
        <w:rPr>
          <w:rFonts w:cs="Calibri" w:cstheme="minorHAnsi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843" w:right="1552" w:header="510" w:top="953" w:footer="567" w:bottom="147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418" w:type="dxa"/>
      <w:tblLayout w:type="fixed"/>
      <w:tblCellMar>
        <w:top w:w="0" w:type="dxa"/>
        <w:left w:w="0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83"/>
      <w:gridCol w:w="1135"/>
      <w:gridCol w:w="8364"/>
    </w:tblGrid>
    <w:tr>
      <w:trPr>
        <w:trHeight w:val="858" w:hRule="atLeast"/>
      </w:trPr>
      <w:tc>
        <w:tcPr>
          <w:tcW w:w="283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163" w:leader="none"/>
            </w:tabs>
            <w:ind w:left="284" w:hanging="284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135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284" w:leader="none"/>
            </w:tabs>
            <w:ind w:left="284" w:hanging="284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8364" w:type="dxa"/>
          <w:tcBorders/>
          <w:vAlign w:val="center"/>
        </w:tcPr>
        <w:p>
          <w:pPr>
            <w:pStyle w:val="Normal"/>
            <w:widowControl w:val="false"/>
            <w:rPr>
              <w:rFonts w:cs="Calibri"/>
              <w:b/>
              <w:b/>
              <w:i/>
              <w:i/>
              <w:color w:val="213B78"/>
              <w:sz w:val="2"/>
              <w:szCs w:val="2"/>
            </w:rPr>
          </w:pPr>
          <w:r>
            <w:rPr>
              <w:rFonts w:cs="Calibri"/>
              <w:b/>
              <w:i/>
              <w:color w:val="213B78"/>
              <w:sz w:val="2"/>
              <w:szCs w:val="2"/>
            </w:rPr>
          </w:r>
        </w:p>
        <w:p>
          <w:pPr>
            <w:pStyle w:val="Normal"/>
            <w:widowControl w:val="false"/>
            <w:ind w:left="146" w:hanging="146"/>
            <w:jc w:val="right"/>
            <w:rPr>
              <w:b/>
              <w:b/>
              <w:sz w:val="22"/>
              <w:szCs w:val="22"/>
            </w:rPr>
          </w:pPr>
          <w:r>
            <w:rPr>
              <w:rFonts w:cs="Calibri"/>
              <w:bCs/>
              <w:color w:val="353C7C"/>
              <w:sz w:val="20"/>
              <w:szCs w:val="18"/>
            </w:rPr>
            <w:fldChar w:fldCharType="begin"/>
          </w:r>
          <w:r>
            <w:rPr>
              <w:sz w:val="20"/>
              <w:szCs w:val="18"/>
              <w:bCs/>
              <w:rFonts w:cs="Calibri"/>
              <w:color w:val="353C7C"/>
            </w:rPr>
            <w:instrText> PAGE </w:instrText>
          </w:r>
          <w:r>
            <w:rPr>
              <w:sz w:val="20"/>
              <w:szCs w:val="18"/>
              <w:bCs/>
              <w:rFonts w:cs="Calibri"/>
              <w:color w:val="353C7C"/>
            </w:rPr>
            <w:fldChar w:fldCharType="separate"/>
          </w:r>
          <w:r>
            <w:rPr>
              <w:sz w:val="20"/>
              <w:szCs w:val="18"/>
              <w:bCs/>
              <w:rFonts w:cs="Calibri"/>
              <w:color w:val="353C7C"/>
            </w:rPr>
            <w:t>2</w:t>
          </w:r>
          <w:r>
            <w:rPr>
              <w:sz w:val="20"/>
              <w:szCs w:val="18"/>
              <w:bCs/>
              <w:rFonts w:cs="Calibri"/>
              <w:color w:val="353C7C"/>
            </w:rPr>
            <w:fldChar w:fldCharType="end"/>
          </w:r>
          <w:r>
            <w:rPr>
              <w:rFonts w:cs="Calibri"/>
              <w:bCs/>
              <w:color w:val="353C7C"/>
              <w:sz w:val="20"/>
              <w:szCs w:val="18"/>
            </w:rPr>
            <w:t xml:space="preserve"> </w:t>
          </w:r>
          <w:r>
            <w:rPr>
              <w:rFonts w:cs="Calibri"/>
              <w:bCs/>
              <w:color w:val="353C7C"/>
              <w:sz w:val="20"/>
              <w:szCs w:val="18"/>
            </w:rPr>
            <w:t>/ 2</w:t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90" w:type="dxa"/>
      <w:jc w:val="left"/>
      <w:tblInd w:w="-14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418"/>
      <w:gridCol w:w="5142"/>
      <w:gridCol w:w="852"/>
      <w:gridCol w:w="2370"/>
      <w:gridCol w:w="107"/>
    </w:tblGrid>
    <w:tr>
      <w:trPr>
        <w:trHeight w:val="1271" w:hRule="atLeast"/>
      </w:trPr>
      <w:tc>
        <w:tcPr>
          <w:tcW w:w="1418" w:type="dxa"/>
          <w:vMerge w:val="restart"/>
          <w:tcBorders/>
        </w:tcPr>
        <w:p>
          <w:pPr>
            <w:pStyle w:val="Normal"/>
            <w:widowControl w:val="false"/>
            <w:tabs>
              <w:tab w:val="clear" w:pos="708"/>
              <w:tab w:val="left" w:pos="186" w:leader="none"/>
            </w:tabs>
            <w:rPr>
              <w:b/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-36195</wp:posOffset>
                </wp:positionH>
                <wp:positionV relativeFrom="margin">
                  <wp:posOffset>34290</wp:posOffset>
                </wp:positionV>
                <wp:extent cx="697865" cy="977900"/>
                <wp:effectExtent l="0" t="0" r="0" b="0"/>
                <wp:wrapSquare wrapText="bothSides"/>
                <wp:docPr id="1" name="Obraz 39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9" descr="Obraz zawierający znak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94" w:type="dxa"/>
          <w:gridSpan w:val="2"/>
          <w:tcBorders>
            <w:bottom w:val="single" w:sz="18" w:space="0" w:color="233D81"/>
          </w:tcBorders>
        </w:tcPr>
        <w:p>
          <w:pPr>
            <w:pStyle w:val="Normal"/>
            <w:widowControl w:val="false"/>
            <w:tabs>
              <w:tab w:val="clear" w:pos="708"/>
              <w:tab w:val="left" w:pos="98" w:leader="none"/>
            </w:tabs>
            <w:ind w:left="-54" w:hanging="0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</w:t>
          </w:r>
        </w:p>
        <w:p>
          <w:pPr>
            <w:pStyle w:val="Normal"/>
            <w:widowControl w:val="false"/>
            <w:tabs>
              <w:tab w:val="clear" w:pos="708"/>
              <w:tab w:val="right" w:pos="0" w:leader="none"/>
            </w:tabs>
            <w:ind w:left="-54" w:firstLine="10"/>
            <w:rPr>
              <w:b/>
              <w:b/>
              <w:color w:val="353C7C"/>
              <w:sz w:val="22"/>
              <w:szCs w:val="22"/>
            </w:rPr>
          </w:pPr>
          <w:r>
            <w:rPr>
              <w:b/>
              <w:color w:val="353C7C"/>
              <w:sz w:val="22"/>
              <w:szCs w:val="22"/>
            </w:rPr>
            <w:t>Uchwała nr 834/2020</w:t>
          </w:r>
        </w:p>
        <w:p>
          <w:pPr>
            <w:pStyle w:val="Normal"/>
            <w:widowControl w:val="false"/>
            <w:tabs>
              <w:tab w:val="clear" w:pos="708"/>
              <w:tab w:val="right" w:pos="0" w:leader="none"/>
            </w:tabs>
            <w:ind w:left="-54" w:firstLine="10"/>
            <w:rPr>
              <w:b/>
              <w:b/>
              <w:color w:val="353C7C"/>
              <w:sz w:val="22"/>
              <w:szCs w:val="22"/>
            </w:rPr>
          </w:pPr>
          <w:r>
            <w:rPr>
              <w:b/>
              <w:color w:val="353C7C"/>
              <w:sz w:val="22"/>
              <w:szCs w:val="22"/>
            </w:rPr>
            <w:t xml:space="preserve">Prezydium Polskiej Komisji Akredytacyjnej </w:t>
          </w:r>
        </w:p>
        <w:p>
          <w:pPr>
            <w:pStyle w:val="Normal"/>
            <w:widowControl w:val="false"/>
            <w:tabs>
              <w:tab w:val="clear" w:pos="708"/>
              <w:tab w:val="right" w:pos="58" w:leader="none"/>
              <w:tab w:val="left" w:pos="98" w:leader="none"/>
              <w:tab w:val="right" w:pos="284" w:leader="none"/>
            </w:tabs>
            <w:ind w:left="-54" w:hanging="0"/>
            <w:rPr>
              <w:b/>
              <w:b/>
              <w:color w:val="213B78"/>
              <w:sz w:val="18"/>
              <w:szCs w:val="18"/>
            </w:rPr>
          </w:pPr>
          <w:r>
            <w:rPr>
              <w:b/>
              <w:color w:val="353C7C"/>
              <w:sz w:val="22"/>
              <w:szCs w:val="22"/>
            </w:rPr>
            <w:t>z dnia 3 grudnia 2020 r.</w:t>
          </w:r>
        </w:p>
      </w:tc>
      <w:tc>
        <w:tcPr>
          <w:tcW w:w="2370" w:type="dxa"/>
          <w:tcBorders>
            <w:bottom w:val="single" w:sz="18" w:space="0" w:color="233D81"/>
          </w:tcBorders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107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516" w:hRule="atLeast"/>
      </w:trPr>
      <w:tc>
        <w:tcPr>
          <w:tcW w:w="141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5142" w:type="dxa"/>
          <w:tcBorders>
            <w:top w:val="single" w:sz="18" w:space="0" w:color="233D81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98" w:leader="none"/>
            </w:tabs>
            <w:ind w:left="-54" w:hanging="0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  <w:tc>
        <w:tcPr>
          <w:tcW w:w="3329" w:type="dxa"/>
          <w:gridSpan w:val="3"/>
          <w:tcBorders>
            <w:top w:val="single" w:sz="18" w:space="0" w:color="233D81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98" w:leader="none"/>
            </w:tabs>
            <w:ind w:left="-54" w:hanging="0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Header"/>
      <w:rPr>
        <w:sz w:val="10"/>
        <w:szCs w:val="10"/>
      </w:rPr>
    </w:pPr>
    <w:r>
      <w:rPr>
        <w:sz w:val="10"/>
        <w:szCs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8"/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2a5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9b0af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9b0af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fe37a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Heading4">
    <w:name w:val="Heading 4"/>
    <w:basedOn w:val="Normal"/>
    <w:next w:val="Normal"/>
    <w:link w:val="Nagwek4Znak"/>
    <w:qFormat/>
    <w:rsid w:val="00bb459a"/>
    <w:pPr>
      <w:keepNext w:val="true"/>
      <w:spacing w:before="120" w:after="120"/>
      <w:jc w:val="center"/>
      <w:outlineLvl w:val="3"/>
    </w:pPr>
    <w:rPr>
      <w:rFonts w:ascii="Calibri" w:hAnsi="Calibri" w:eastAsia="Times New Roman" w:cs="Times New Roman"/>
      <w:b/>
      <w:bCs/>
      <w:iCs/>
      <w:szCs w:val="28"/>
      <w:lang w:val="en-US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f7c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f7c7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7c77"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a67ec4"/>
    <w:rPr>
      <w:color w:val="0000FF"/>
      <w:u w:val="single"/>
    </w:rPr>
  </w:style>
  <w:style w:type="character" w:styleId="Nagwek4Znak" w:customStyle="1">
    <w:name w:val="Nagłówek 4 Znak"/>
    <w:basedOn w:val="DefaultParagraphFont"/>
    <w:link w:val="Nagwek4"/>
    <w:qFormat/>
    <w:rsid w:val="00bb459a"/>
    <w:rPr>
      <w:rFonts w:ascii="Calibri" w:hAnsi="Calibri" w:eastAsia="Times New Roman" w:cs="Times New Roman"/>
      <w:b/>
      <w:bCs/>
      <w:iCs/>
      <w:szCs w:val="28"/>
      <w:lang w:val="en-US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a37eb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3a37e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a15ccb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b0af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b0af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9b0afc"/>
    <w:rPr>
      <w:rFonts w:ascii="Times New Roman" w:hAnsi="Times New Roman" w:eastAsia="Lucida Sans Unicode" w:cs="Tahoma"/>
      <w:lang w:eastAsia="pl-PL" w:bidi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0378e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0378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ytuZnak" w:customStyle="1">
    <w:name w:val="Tytuł Znak"/>
    <w:basedOn w:val="DefaultParagraphFont"/>
    <w:link w:val="Tytu"/>
    <w:uiPriority w:val="10"/>
    <w:qFormat/>
    <w:rsid w:val="00c578ae"/>
    <w:rPr>
      <w:rFonts w:ascii="Calibri Light" w:hAnsi="Calibri Light" w:eastAsia="" w:cs="" w:asciiTheme="majorHAnsi" w:cstheme="majorBidi" w:eastAsiaTheme="majorEastAsia" w:hAnsiTheme="majorHAnsi"/>
      <w:b/>
      <w:spacing w:val="-10"/>
      <w:kern w:val="2"/>
      <w:sz w:val="56"/>
      <w:szCs w:val="56"/>
      <w:lang w:eastAsia="pl-PL"/>
    </w:rPr>
  </w:style>
  <w:style w:type="character" w:styleId="Annotationreference">
    <w:name w:val="annotation reference"/>
    <w:uiPriority w:val="99"/>
    <w:semiHidden/>
    <w:unhideWhenUsed/>
    <w:qFormat/>
    <w:rsid w:val="004425e8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425e8"/>
    <w:rPr>
      <w:rFonts w:ascii="Times New Roman" w:hAnsi="Times New Roman" w:eastAsia="Times New Roman" w:cs="Calibri"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e37a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a7ecc"/>
    <w:rPr>
      <w:rFonts w:ascii="Times New Roman" w:hAnsi="Times New Roman" w:eastAsia="Times New Roman" w:cs="Calibri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e269f0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TekstpodstawowyZnak"/>
    <w:rsid w:val="009b0afc"/>
    <w:pPr>
      <w:widowControl w:val="false"/>
      <w:suppressAutoHyphens w:val="true"/>
      <w:spacing w:before="0" w:after="120"/>
    </w:pPr>
    <w:rPr>
      <w:rFonts w:ascii="Times New Roman" w:hAnsi="Times New Roman" w:eastAsia="Lucida Sans Unicode" w:cs="Tahoma"/>
      <w:lang w:eastAsia="pl-PL" w:bidi="pl-P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KAtekstcigy" w:customStyle="1">
    <w:name w:val="PKA- tekst ciągły"/>
    <w:autoRedefine/>
    <w:qFormat/>
    <w:rsid w:val="00cd1415"/>
    <w:pPr>
      <w:widowControl/>
      <w:bidi w:val="0"/>
      <w:spacing w:lineRule="auto" w:line="276" w:before="40" w:after="0"/>
      <w:jc w:val="left"/>
    </w:pPr>
    <w:rPr>
      <w:rFonts w:ascii="Calibri" w:hAnsi="Calibri" w:eastAsia="Times New Roman" w:cs="Arial" w:asciiTheme="minorHAnsi" w:hAnsiTheme="minorHAnsi"/>
      <w:color w:val="auto"/>
      <w:kern w:val="0"/>
      <w:sz w:val="22"/>
      <w:szCs w:val="20"/>
      <w:lang w:eastAsia="pl-PL" w:val="pl-P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f7c7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ef7c7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7c77"/>
    <w:pPr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67ec4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c7707a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TekstprzypisudolnegoZnak"/>
    <w:uiPriority w:val="99"/>
    <w:semiHidden/>
    <w:unhideWhenUsed/>
    <w:rsid w:val="0060378e"/>
    <w:pPr/>
    <w:rPr>
      <w:sz w:val="20"/>
      <w:szCs w:val="20"/>
    </w:rPr>
  </w:style>
  <w:style w:type="paragraph" w:styleId="PKASTRONA1" w:customStyle="1">
    <w:name w:val="PKA- STRONA 1"/>
    <w:basedOn w:val="Normal"/>
    <w:qFormat/>
    <w:rsid w:val="00c578ae"/>
    <w:pPr>
      <w:ind w:left="2268" w:hanging="0"/>
      <w:jc w:val="both"/>
    </w:pPr>
    <w:rPr>
      <w:rFonts w:ascii="Calibri" w:hAnsi="Calibri" w:eastAsia="Times New Roman" w:cs="Arial"/>
      <w:b/>
      <w:bCs/>
      <w:color w:val="243C80"/>
      <w:sz w:val="52"/>
      <w:szCs w:val="52"/>
      <w:lang w:eastAsia="pl-PL"/>
    </w:rPr>
  </w:style>
  <w:style w:type="paragraph" w:styleId="Title">
    <w:name w:val="Title"/>
    <w:basedOn w:val="Normal"/>
    <w:next w:val="Normal"/>
    <w:link w:val="TytuZnak"/>
    <w:uiPriority w:val="10"/>
    <w:qFormat/>
    <w:rsid w:val="00c578ae"/>
    <w:pPr>
      <w:spacing w:before="0" w:after="0"/>
      <w:contextualSpacing/>
      <w:jc w:val="both"/>
    </w:pPr>
    <w:rPr>
      <w:rFonts w:ascii="Calibri Light" w:hAnsi="Calibri Light" w:eastAsia="" w:cs="" w:asciiTheme="majorHAnsi" w:cstheme="majorBidi" w:eastAsiaTheme="majorEastAsia" w:hAnsiTheme="majorHAnsi"/>
      <w:b/>
      <w:spacing w:val="-10"/>
      <w:kern w:val="2"/>
      <w:sz w:val="56"/>
      <w:szCs w:val="56"/>
      <w:lang w:eastAsia="pl-PL"/>
    </w:rPr>
  </w:style>
  <w:style w:type="paragraph" w:styleId="Pka1stronq" w:customStyle="1">
    <w:name w:val="pka-1-stronq"/>
    <w:basedOn w:val="Normal"/>
    <w:qFormat/>
    <w:rsid w:val="00c578ae"/>
    <w:pPr>
      <w:tabs>
        <w:tab w:val="clear" w:pos="708"/>
        <w:tab w:val="left" w:pos="0" w:leader="none"/>
        <w:tab w:val="left" w:pos="2268" w:leader="none"/>
      </w:tabs>
      <w:spacing w:lineRule="auto" w:line="276" w:before="40" w:after="0"/>
      <w:ind w:left="2268" w:hanging="0"/>
    </w:pPr>
    <w:rPr>
      <w:rFonts w:ascii="Calibri" w:hAnsi="Calibri" w:eastAsia="Times New Roman" w:cs="Arial"/>
      <w:sz w:val="22"/>
      <w:szCs w:val="20"/>
      <w:lang w:eastAsia="pl-PL"/>
    </w:rPr>
  </w:style>
  <w:style w:type="paragraph" w:styleId="Contents1">
    <w:name w:val="TOC 1"/>
    <w:basedOn w:val="Normal"/>
    <w:next w:val="Normal"/>
    <w:autoRedefine/>
    <w:uiPriority w:val="39"/>
    <w:unhideWhenUsed/>
    <w:qFormat/>
    <w:rsid w:val="00f01fa6"/>
    <w:pPr>
      <w:tabs>
        <w:tab w:val="clear" w:pos="708"/>
        <w:tab w:val="right" w:pos="9214" w:leader="dot"/>
      </w:tabs>
      <w:spacing w:lineRule="auto" w:line="276" w:before="120" w:after="120"/>
      <w:jc w:val="both"/>
    </w:pPr>
    <w:rPr>
      <w:rFonts w:ascii="Times New Roman" w:hAnsi="Times New Roman" w:eastAsia="" w:cs="Times New Roman" w:eastAsiaTheme="minorEastAsia"/>
      <w:szCs w:val="22"/>
      <w:lang w:eastAsia="pl-PL"/>
    </w:rPr>
  </w:style>
  <w:style w:type="paragraph" w:styleId="WyrnieniaPKA" w:customStyle="1">
    <w:name w:val="wyróżnienia PKA"/>
    <w:basedOn w:val="Normal"/>
    <w:qFormat/>
    <w:rsid w:val="00b4306e"/>
    <w:pPr>
      <w:tabs>
        <w:tab w:val="clear" w:pos="708"/>
        <w:tab w:val="left" w:pos="1418" w:leader="none"/>
      </w:tabs>
      <w:ind w:left="1416" w:hanging="0"/>
      <w:jc w:val="both"/>
    </w:pPr>
    <w:rPr>
      <w:rFonts w:ascii="Calibri" w:hAnsi="Calibri" w:eastAsia="Times New Roman" w:cs="Arial"/>
      <w:b/>
      <w:bCs/>
      <w:color w:val="213C83"/>
      <w:sz w:val="22"/>
      <w:szCs w:val="22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425e8"/>
    <w:pPr/>
    <w:rPr>
      <w:rFonts w:ascii="Times New Roman" w:hAnsi="Times New Roman" w:eastAsia="Times New Roman" w:cs="Calibri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a7ecc"/>
    <w:pPr/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Default" w:customStyle="1">
    <w:name w:val="Default"/>
    <w:qFormat/>
    <w:rsid w:val="005b7e74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6b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7" ma:contentTypeDescription="Utwórz nowy dokument." ma:contentTypeScope="" ma:versionID="025e0f22eba5baac40293e4dd7028718">
  <xsd:schema xmlns:xsd="http://www.w3.org/2001/XMLSchema" xmlns:xs="http://www.w3.org/2001/XMLSchema" xmlns:p="http://schemas.microsoft.com/office/2006/metadata/properties" xmlns:ns2="a9008faa-a67d-4dc0-bff2-42f834524f9b" targetNamespace="http://schemas.microsoft.com/office/2006/metadata/properties" ma:root="true" ma:fieldsID="cc822db2c58885d5fc68d1d860a8a15f" ns2:_="">
    <xsd:import namespace="a9008faa-a67d-4dc0-bff2-42f834524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DC74A-18AE-4677-9A4F-815624402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883F8-8655-47B4-9D07-9A7E9AFCF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BED73-6E17-416A-8E3C-A2090D53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E2616-D203-4569-88FC-5B1E7F6A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3</Pages>
  <Words>711</Words>
  <Characters>4833</Characters>
  <CharactersWithSpaces>5496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2020-12-14T09:24:00Z</dcterms:created>
  <dc:creator>Microsoft Office User</dc:creator>
  <dc:description/>
  <dc:language>pl-PL</dc:language>
  <cp:lastModifiedBy>Alicja Borzęcka-Szajner</cp:lastModifiedBy>
  <dcterms:modified xsi:type="dcterms:W3CDTF">2020-12-14T09:24:00Z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0x0101005467930397BB5D4599FA69E74E70B2B7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